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1B8A" w:rsidRPr="007B1B8A" w:rsidRDefault="007B1B8A" w:rsidP="007B1B8A">
      <w:pPr>
        <w:rPr>
          <w:rFonts w:ascii="Times New Roman" w:hAnsi="Times New Roman"/>
          <w:b/>
          <w:sz w:val="28"/>
          <w:szCs w:val="28"/>
          <w:lang w:val="uk-UA"/>
        </w:rPr>
      </w:pPr>
      <w:r>
        <w:rPr>
          <w:noProof/>
          <w:lang w:val="uk-UA" w:eastAsia="uk-UA"/>
        </w:rPr>
        <mc:AlternateContent>
          <mc:Choice Requires="wps">
            <w:drawing>
              <wp:anchor distT="0" distB="0" distL="114300" distR="114300" simplePos="0" relativeHeight="251659264" behindDoc="0" locked="0" layoutInCell="1" allowOverlap="1" wp14:anchorId="61428868" wp14:editId="5077E45B">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1B8A" w:rsidRDefault="007B1B8A" w:rsidP="007B1B8A">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7B1B8A" w:rsidRDefault="007B1B8A" w:rsidP="007B1B8A">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7B1B8A" w:rsidRDefault="007B1B8A" w:rsidP="007B1B8A">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7B1B8A" w:rsidRDefault="007B1B8A" w:rsidP="007B1B8A">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7B1B8A" w:rsidRDefault="007B1B8A" w:rsidP="007B1B8A">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7B1B8A" w:rsidRDefault="007B1B8A" w:rsidP="007B1B8A">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v:textbox>
              </v:shape>
            </w:pict>
          </mc:Fallback>
        </mc:AlternateContent>
      </w:r>
      <w:bookmarkStart w:id="0" w:name="bookmark2"/>
      <w:r>
        <w:rPr>
          <w:noProof/>
          <w:lang w:val="uk-UA" w:eastAsia="uk-UA"/>
        </w:rPr>
        <w:drawing>
          <wp:inline distT="0" distB="0" distL="0" distR="0" wp14:anchorId="22806A73" wp14:editId="33808D21">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311E8D" w:rsidRPr="007B1B8A" w:rsidRDefault="00311E8D" w:rsidP="007B1B8A">
      <w:pPr>
        <w:spacing w:after="0" w:line="240" w:lineRule="auto"/>
        <w:jc w:val="both"/>
        <w:rPr>
          <w:rFonts w:ascii="Times New Roman" w:hAnsi="Times New Roman"/>
          <w:i/>
          <w:sz w:val="28"/>
          <w:szCs w:val="28"/>
          <w:u w:val="single"/>
        </w:rPr>
      </w:pPr>
      <w:r w:rsidRPr="007B1B8A">
        <w:rPr>
          <w:rFonts w:ascii="Times New Roman" w:hAnsi="Times New Roman"/>
          <w:i/>
          <w:sz w:val="28"/>
          <w:szCs w:val="28"/>
          <w:u w:val="single"/>
          <w:lang w:val="uk-UA"/>
        </w:rPr>
        <w:t>Чи зобов’язані платники ПДВ подавати до контролюючих органів податкові декларації з ПДВ за звітні податкові періоди протягом яких такими платниками податку господарська діяльність не проводилася (крім нерезидентів, які постачають електронні послуги ФО, місце постачання яких розташовано на митній території України)?</w:t>
      </w:r>
    </w:p>
    <w:p w:rsidR="00311E8D" w:rsidRPr="007B1B8A" w:rsidRDefault="00311E8D" w:rsidP="00311E8D">
      <w:pPr>
        <w:spacing w:after="0" w:line="240" w:lineRule="auto"/>
        <w:jc w:val="center"/>
        <w:rPr>
          <w:rFonts w:ascii="Times New Roman" w:hAnsi="Times New Roman"/>
          <w:b/>
          <w:sz w:val="28"/>
          <w:szCs w:val="28"/>
        </w:rPr>
      </w:pPr>
    </w:p>
    <w:p w:rsidR="00311E8D" w:rsidRPr="007B1B8A" w:rsidRDefault="00311E8D" w:rsidP="00311E8D">
      <w:pPr>
        <w:spacing w:after="0" w:line="240" w:lineRule="auto"/>
        <w:ind w:firstLine="567"/>
        <w:jc w:val="both"/>
        <w:rPr>
          <w:rFonts w:ascii="Times New Roman" w:hAnsi="Times New Roman"/>
          <w:sz w:val="28"/>
          <w:szCs w:val="28"/>
        </w:rPr>
      </w:pPr>
      <w:r w:rsidRPr="007B1B8A">
        <w:rPr>
          <w:rFonts w:ascii="Times New Roman" w:hAnsi="Times New Roman"/>
          <w:sz w:val="28"/>
          <w:szCs w:val="28"/>
          <w:lang w:val="uk-UA"/>
        </w:rPr>
        <w:t>Згідно з п. 49.2 ст. 49 Податкового кодексу України від 02 грудня 2010 року № 2755-VI (далі – ПКУ) платник податків зобов’язаний за кожний встановлений ПКУ звітний період, в якому виникають об’єкти оподаткування, або у разі наявності показників, які підлягають декларуванню, відповідно до вимог ПКУ подавати податкові декларації щодо кожного окремого податку, платником якого він є.</w:t>
      </w:r>
    </w:p>
    <w:p w:rsidR="00311E8D" w:rsidRPr="007B1B8A" w:rsidRDefault="00311E8D" w:rsidP="00311E8D">
      <w:pPr>
        <w:spacing w:after="0" w:line="240" w:lineRule="auto"/>
        <w:ind w:firstLine="567"/>
        <w:jc w:val="both"/>
        <w:rPr>
          <w:rFonts w:ascii="Times New Roman" w:hAnsi="Times New Roman"/>
          <w:sz w:val="28"/>
          <w:szCs w:val="28"/>
          <w:lang w:val="uk-UA"/>
        </w:rPr>
      </w:pPr>
      <w:r w:rsidRPr="007B1B8A">
        <w:rPr>
          <w:rFonts w:ascii="Times New Roman" w:hAnsi="Times New Roman"/>
          <w:sz w:val="28"/>
          <w:szCs w:val="28"/>
          <w:lang w:val="uk-UA"/>
        </w:rPr>
        <w:t>Платники ПДВ, зареєстровані відповідно до п. 208 прим. 1.2 ст. 208 прим. 1 ПКУ, подають до центрального органу виконавчої влади, що реалізує державну податкову політику, спрощену податкову декларацію відповідно до п. 208 прим.1.8 ст. 208 прим. 1 ПКУ.</w:t>
      </w:r>
    </w:p>
    <w:p w:rsidR="00311E8D" w:rsidRPr="007B1B8A" w:rsidRDefault="00311E8D" w:rsidP="00311E8D">
      <w:pPr>
        <w:spacing w:after="0" w:line="240" w:lineRule="auto"/>
        <w:ind w:firstLine="567"/>
        <w:jc w:val="both"/>
        <w:rPr>
          <w:rFonts w:ascii="Times New Roman" w:hAnsi="Times New Roman"/>
          <w:sz w:val="28"/>
          <w:szCs w:val="28"/>
          <w:lang w:val="uk-UA"/>
        </w:rPr>
      </w:pPr>
      <w:r w:rsidRPr="007B1B8A">
        <w:rPr>
          <w:rFonts w:ascii="Times New Roman" w:hAnsi="Times New Roman"/>
          <w:sz w:val="28"/>
          <w:szCs w:val="28"/>
          <w:lang w:val="uk-UA"/>
        </w:rPr>
        <w:t>Водночас, абзацом другим п. 40.1 ст. 40 ПКУ передбачено, що у разі якщо іншими розділами ПКУ або законами з питань митної справи визначається спеціальний порядок адміністрування окремих податків, зборів, платежів, використовуються правила, визначені в іншому розділі або законі з питань митної справи.</w:t>
      </w:r>
    </w:p>
    <w:p w:rsidR="00311E8D" w:rsidRPr="007B1B8A" w:rsidRDefault="00311E8D" w:rsidP="00311E8D">
      <w:pPr>
        <w:spacing w:after="0" w:line="240" w:lineRule="auto"/>
        <w:ind w:firstLine="567"/>
        <w:jc w:val="both"/>
        <w:rPr>
          <w:rFonts w:ascii="Times New Roman" w:hAnsi="Times New Roman"/>
          <w:sz w:val="28"/>
          <w:szCs w:val="28"/>
        </w:rPr>
      </w:pPr>
      <w:r w:rsidRPr="007B1B8A">
        <w:rPr>
          <w:rFonts w:ascii="Times New Roman" w:hAnsi="Times New Roman"/>
          <w:sz w:val="28"/>
          <w:szCs w:val="28"/>
          <w:lang w:val="uk-UA"/>
        </w:rPr>
        <w:t>Так, відповідно до п. 200.4 ст. 200 ПКУ при від’ємному значенні суми, розрахованої згідно з п. 200.1 ст. 200 ПКУ, така сума:</w:t>
      </w:r>
    </w:p>
    <w:p w:rsidR="00311E8D" w:rsidRPr="007B1B8A" w:rsidRDefault="00311E8D" w:rsidP="00311E8D">
      <w:pPr>
        <w:spacing w:after="0" w:line="240" w:lineRule="auto"/>
        <w:ind w:firstLine="567"/>
        <w:jc w:val="both"/>
        <w:rPr>
          <w:rFonts w:ascii="Times New Roman" w:hAnsi="Times New Roman"/>
          <w:sz w:val="28"/>
          <w:szCs w:val="28"/>
        </w:rPr>
      </w:pPr>
      <w:r w:rsidRPr="007B1B8A">
        <w:rPr>
          <w:rFonts w:ascii="Times New Roman" w:hAnsi="Times New Roman"/>
          <w:sz w:val="28"/>
          <w:szCs w:val="28"/>
          <w:lang w:val="uk-UA"/>
        </w:rPr>
        <w:t>а) враховується у зменшення суми податкового боргу з податку, що виник за попередні звітні (податкові) періоди (у тому числі розстроченого або відстроченого відповідно до ПКУ) в частині, що не перевищує суму, обчислену відповідно до п. 200 прим. 1.3 ст. 200 прим. 1 ПКУ на момент отримання контролюючим органом податкової декларації, а в разі відсу</w:t>
      </w:r>
      <w:r w:rsidR="007B1B8A">
        <w:rPr>
          <w:rFonts w:ascii="Times New Roman" w:hAnsi="Times New Roman"/>
          <w:sz w:val="28"/>
          <w:szCs w:val="28"/>
          <w:lang w:val="uk-UA"/>
        </w:rPr>
        <w:t>тності податкового боргу ;</w:t>
      </w:r>
    </w:p>
    <w:p w:rsidR="00311E8D" w:rsidRPr="007B1B8A" w:rsidRDefault="00311E8D" w:rsidP="00311E8D">
      <w:pPr>
        <w:spacing w:after="0" w:line="240" w:lineRule="auto"/>
        <w:ind w:firstLine="567"/>
        <w:jc w:val="both"/>
        <w:rPr>
          <w:rFonts w:ascii="Times New Roman" w:hAnsi="Times New Roman"/>
          <w:sz w:val="28"/>
          <w:szCs w:val="28"/>
        </w:rPr>
      </w:pPr>
      <w:r w:rsidRPr="007B1B8A">
        <w:rPr>
          <w:rFonts w:ascii="Times New Roman" w:hAnsi="Times New Roman"/>
          <w:sz w:val="28"/>
          <w:szCs w:val="28"/>
          <w:lang w:val="uk-UA"/>
        </w:rPr>
        <w:t>б) або підлягає бюджетному відшкодуванню за заявою платника у сумі податку, фактично сплаченій отримувачем товарів/послуг у попередніх та звітному податкових періодах постачальникам таких товарів/послуг або до Державного бюджету України, в частині, що не перевищує суму, обчислену відповідно до п. 200 прим. 1.3 ст. 200 прим. 1 ПКУ на момент отримання контролюючим органом податкової декларації на поточний рахунок платника податку та/або у рахунок сплати грошових зобов’язань або погашення податкового боргу такого платника податку з інших платежів, що сплачуються до державного бюджету.</w:t>
      </w:r>
    </w:p>
    <w:p w:rsidR="00311E8D" w:rsidRPr="007B1B8A" w:rsidRDefault="00311E8D" w:rsidP="00311E8D">
      <w:pPr>
        <w:spacing w:after="0" w:line="240" w:lineRule="auto"/>
        <w:ind w:firstLine="567"/>
        <w:jc w:val="both"/>
        <w:rPr>
          <w:rFonts w:ascii="Times New Roman" w:hAnsi="Times New Roman"/>
          <w:sz w:val="28"/>
          <w:szCs w:val="28"/>
        </w:rPr>
      </w:pPr>
      <w:r w:rsidRPr="007B1B8A">
        <w:rPr>
          <w:rFonts w:ascii="Times New Roman" w:hAnsi="Times New Roman"/>
          <w:sz w:val="28"/>
          <w:szCs w:val="28"/>
          <w:lang w:val="uk-UA"/>
        </w:rPr>
        <w:lastRenderedPageBreak/>
        <w:t>Не підлягає бюджетному відшкодуванню сума від’ємного значення, до розрахунку якої включено суми податку, сплачені отримувачем товарів/послуг у попередніх та звітному податкових періодах постачальникам товарів/послуг, які використані або будуть використані в операціях з першого постачання житла (об’єктів житлової нерухомості), неподільного житлового об’єкта незавершеного будівництва/майбутнього об’єкта житлової нерухомості. Суми такого від’ємного значення зараховуються до складу податкового кредиту наступного звітного (податкового) періоду до її повного погашення п</w:t>
      </w:r>
      <w:r w:rsidR="007B1B8A">
        <w:rPr>
          <w:rFonts w:ascii="Times New Roman" w:hAnsi="Times New Roman"/>
          <w:sz w:val="28"/>
          <w:szCs w:val="28"/>
          <w:lang w:val="uk-UA"/>
        </w:rPr>
        <w:t>одатковими зобов’язаннями;</w:t>
      </w:r>
    </w:p>
    <w:p w:rsidR="00311E8D" w:rsidRPr="007B1B8A" w:rsidRDefault="00311E8D" w:rsidP="00311E8D">
      <w:pPr>
        <w:spacing w:after="0" w:line="240" w:lineRule="auto"/>
        <w:ind w:firstLine="567"/>
        <w:jc w:val="both"/>
        <w:rPr>
          <w:rFonts w:ascii="Times New Roman" w:hAnsi="Times New Roman"/>
          <w:sz w:val="28"/>
          <w:szCs w:val="28"/>
        </w:rPr>
      </w:pPr>
      <w:r w:rsidRPr="007B1B8A">
        <w:rPr>
          <w:rFonts w:ascii="Times New Roman" w:hAnsi="Times New Roman"/>
          <w:sz w:val="28"/>
          <w:szCs w:val="28"/>
          <w:lang w:val="uk-UA"/>
        </w:rPr>
        <w:t>в) та/або зараховується до складу податкового кредиту наступного звітного (податкового) періоду.</w:t>
      </w:r>
    </w:p>
    <w:p w:rsidR="00311E8D" w:rsidRPr="007B1B8A" w:rsidRDefault="00311E8D" w:rsidP="00311E8D">
      <w:pPr>
        <w:spacing w:after="0" w:line="240" w:lineRule="auto"/>
        <w:ind w:firstLine="567"/>
        <w:jc w:val="both"/>
        <w:rPr>
          <w:rFonts w:ascii="Times New Roman" w:hAnsi="Times New Roman"/>
          <w:sz w:val="28"/>
          <w:szCs w:val="28"/>
        </w:rPr>
      </w:pPr>
      <w:r w:rsidRPr="007B1B8A">
        <w:rPr>
          <w:rFonts w:ascii="Times New Roman" w:hAnsi="Times New Roman"/>
          <w:sz w:val="28"/>
          <w:szCs w:val="28"/>
          <w:lang w:val="uk-UA"/>
        </w:rPr>
        <w:t xml:space="preserve">Підпунктом 5 п. 5 </w:t>
      </w:r>
      <w:proofErr w:type="spellStart"/>
      <w:r w:rsidRPr="007B1B8A">
        <w:rPr>
          <w:rFonts w:ascii="Times New Roman" w:hAnsi="Times New Roman"/>
          <w:sz w:val="28"/>
          <w:szCs w:val="28"/>
          <w:lang w:val="uk-UA"/>
        </w:rPr>
        <w:t>розд</w:t>
      </w:r>
      <w:proofErr w:type="spellEnd"/>
      <w:r w:rsidRPr="007B1B8A">
        <w:rPr>
          <w:rFonts w:ascii="Times New Roman" w:hAnsi="Times New Roman"/>
          <w:sz w:val="28"/>
          <w:szCs w:val="28"/>
          <w:lang w:val="uk-UA"/>
        </w:rPr>
        <w:t>. V Порядку заповнення і подання податкової звітності з податку на додану вартість, затвердженого наказом Міністерства фінансів України від 28.01.2016 № 21, зареєстрованим в Міністерстві юстиції України 29.01.2016 за № 159/28289 (далі – Порядок), визначено, що сума від’ємного значення, що зараховується до складу податкового кредиту наступного звітного (податкового) періоду (рядок 19.1 + рядок 20.3 податкової декларації з ПДВ (далі – Декларація)), відображається у рядку 21 Декларації та переноситься до рядка 16.1 наступного звітного (податкового) періоду.</w:t>
      </w:r>
    </w:p>
    <w:p w:rsidR="007B1B8A" w:rsidRDefault="00311E8D" w:rsidP="00311E8D">
      <w:pPr>
        <w:spacing w:after="0" w:line="240" w:lineRule="auto"/>
        <w:ind w:firstLine="567"/>
        <w:jc w:val="both"/>
        <w:rPr>
          <w:rFonts w:ascii="Times New Roman" w:hAnsi="Times New Roman"/>
          <w:sz w:val="28"/>
          <w:szCs w:val="28"/>
          <w:lang w:val="uk-UA"/>
        </w:rPr>
      </w:pPr>
      <w:r w:rsidRPr="007B1B8A">
        <w:rPr>
          <w:rFonts w:ascii="Times New Roman" w:hAnsi="Times New Roman"/>
          <w:sz w:val="28"/>
          <w:szCs w:val="28"/>
          <w:lang w:val="uk-UA"/>
        </w:rPr>
        <w:t>Пунктом 9 розділу ІІІ Порядку передбачено, що Декларація подається платником за звітний період, в якому виникають об’єкти оподаткування, або у разі наявності показників, які підлягають декларуванню, відповідно до вимог ПКУ.</w:t>
      </w:r>
      <w:r w:rsidRPr="007B1B8A">
        <w:rPr>
          <w:rFonts w:ascii="Times New Roman" w:hAnsi="Times New Roman"/>
          <w:sz w:val="28"/>
          <w:szCs w:val="28"/>
          <w:lang w:val="uk-UA"/>
        </w:rPr>
        <w:br/>
        <w:t>     Таким чином, якщо платником податку господарська діяльність протягом звітного (податкового) періоду не проводилась, але такий платник податку має суми від’ємного значення попередніх періодів, що підлягають відображенню в декларації звітного (податкового) періоду, то Декларація за такий звітний (податковий) період подається.</w:t>
      </w:r>
    </w:p>
    <w:p w:rsidR="00311E8D" w:rsidRPr="007B1B8A" w:rsidRDefault="00311E8D" w:rsidP="00311E8D">
      <w:pPr>
        <w:spacing w:after="0" w:line="240" w:lineRule="auto"/>
        <w:ind w:firstLine="567"/>
        <w:jc w:val="both"/>
        <w:rPr>
          <w:rFonts w:ascii="Times New Roman" w:hAnsi="Times New Roman"/>
          <w:b/>
          <w:sz w:val="28"/>
          <w:szCs w:val="28"/>
          <w:lang w:val="uk-UA"/>
        </w:rPr>
      </w:pPr>
      <w:r w:rsidRPr="007B1B8A">
        <w:rPr>
          <w:rFonts w:ascii="Times New Roman" w:hAnsi="Times New Roman"/>
          <w:sz w:val="28"/>
          <w:szCs w:val="28"/>
          <w:lang w:val="uk-UA"/>
        </w:rPr>
        <w:t>У разі якщо платником податку господарська діяльність протягом звітного (податкового) періоду не проводилась та відсутні показники, які підлягають декларуванню (в тому числі суми від’ємного значення попередніх періодів), то декларація за такий звітний (податковий) період на підставі п. 49.2 ст. 49 ПКУ не подається.</w:t>
      </w:r>
    </w:p>
    <w:p w:rsidR="007B1B8A" w:rsidRPr="007B1B8A" w:rsidRDefault="007B1B8A" w:rsidP="007B1B8A">
      <w:pPr>
        <w:ind w:firstLine="567"/>
        <w:rPr>
          <w:rStyle w:val="z-label"/>
          <w:rFonts w:ascii="Times New Roman" w:hAnsi="Times New Roman"/>
          <w:sz w:val="28"/>
          <w:szCs w:val="28"/>
        </w:rPr>
      </w:pPr>
      <w:r w:rsidRPr="007B1B8A">
        <w:rPr>
          <w:rFonts w:ascii="Times New Roman" w:hAnsi="Times New Roman"/>
          <w:sz w:val="28"/>
          <w:szCs w:val="28"/>
          <w:shd w:val="clear" w:color="auto" w:fill="FFFFFF"/>
        </w:rPr>
        <w:t xml:space="preserve">За </w:t>
      </w:r>
      <w:proofErr w:type="spellStart"/>
      <w:r w:rsidRPr="007B1B8A">
        <w:rPr>
          <w:rFonts w:ascii="Times New Roman" w:hAnsi="Times New Roman"/>
          <w:sz w:val="28"/>
          <w:szCs w:val="28"/>
          <w:shd w:val="clear" w:color="auto" w:fill="FFFFFF"/>
        </w:rPr>
        <w:t>інформацією</w:t>
      </w:r>
      <w:proofErr w:type="spellEnd"/>
      <w:r w:rsidRPr="007B1B8A">
        <w:rPr>
          <w:rFonts w:ascii="Times New Roman" w:hAnsi="Times New Roman"/>
          <w:sz w:val="28"/>
          <w:szCs w:val="28"/>
          <w:shd w:val="clear" w:color="auto" w:fill="FFFFFF"/>
        </w:rPr>
        <w:t xml:space="preserve"> </w:t>
      </w:r>
      <w:proofErr w:type="spellStart"/>
      <w:r w:rsidRPr="007B1B8A">
        <w:rPr>
          <w:rFonts w:ascii="Times New Roman" w:hAnsi="Times New Roman"/>
          <w:sz w:val="28"/>
          <w:szCs w:val="28"/>
          <w:shd w:val="clear" w:color="auto" w:fill="FFFFFF"/>
        </w:rPr>
        <w:t>загальнодоступного</w:t>
      </w:r>
      <w:proofErr w:type="spellEnd"/>
      <w:r w:rsidRPr="007B1B8A">
        <w:rPr>
          <w:rFonts w:ascii="Times New Roman" w:hAnsi="Times New Roman"/>
          <w:sz w:val="28"/>
          <w:szCs w:val="28"/>
          <w:shd w:val="clear" w:color="auto" w:fill="FFFFFF"/>
        </w:rPr>
        <w:t xml:space="preserve"> </w:t>
      </w:r>
      <w:proofErr w:type="spellStart"/>
      <w:r w:rsidRPr="007B1B8A">
        <w:rPr>
          <w:rFonts w:ascii="Times New Roman" w:hAnsi="Times New Roman"/>
          <w:sz w:val="28"/>
          <w:szCs w:val="28"/>
          <w:shd w:val="clear" w:color="auto" w:fill="FFFFFF"/>
        </w:rPr>
        <w:t>інформаційно-довідкового</w:t>
      </w:r>
      <w:proofErr w:type="spellEnd"/>
      <w:r w:rsidRPr="007B1B8A">
        <w:rPr>
          <w:rFonts w:ascii="Times New Roman" w:hAnsi="Times New Roman"/>
          <w:sz w:val="28"/>
          <w:szCs w:val="28"/>
          <w:shd w:val="clear" w:color="auto" w:fill="FFFFFF"/>
        </w:rPr>
        <w:t xml:space="preserve"> ресурсу.</w:t>
      </w:r>
    </w:p>
    <w:p w:rsidR="007B1B8A" w:rsidRDefault="007B1B8A" w:rsidP="007B1B8A">
      <w:pPr>
        <w:spacing w:after="0" w:line="240" w:lineRule="auto"/>
        <w:jc w:val="both"/>
        <w:rPr>
          <w:rFonts w:ascii="Times New Roman" w:hAnsi="Times New Roman"/>
          <w:sz w:val="28"/>
          <w:szCs w:val="28"/>
          <w:lang w:val="en-US"/>
        </w:rPr>
      </w:pPr>
    </w:p>
    <w:p w:rsidR="004127DE" w:rsidRDefault="004127DE" w:rsidP="007B1B8A">
      <w:pPr>
        <w:spacing w:after="0" w:line="240" w:lineRule="auto"/>
        <w:jc w:val="both"/>
        <w:rPr>
          <w:rFonts w:ascii="Times New Roman" w:hAnsi="Times New Roman"/>
          <w:sz w:val="28"/>
          <w:szCs w:val="28"/>
          <w:lang w:val="en-US"/>
        </w:rPr>
      </w:pPr>
    </w:p>
    <w:p w:rsidR="004127DE" w:rsidRDefault="004127DE" w:rsidP="007B1B8A">
      <w:pPr>
        <w:spacing w:after="0" w:line="240" w:lineRule="auto"/>
        <w:jc w:val="both"/>
        <w:rPr>
          <w:rFonts w:ascii="Times New Roman" w:hAnsi="Times New Roman"/>
          <w:sz w:val="28"/>
          <w:szCs w:val="28"/>
          <w:lang w:val="en-US"/>
        </w:rPr>
      </w:pPr>
    </w:p>
    <w:p w:rsidR="004127DE" w:rsidRDefault="004127DE" w:rsidP="007B1B8A">
      <w:pPr>
        <w:spacing w:after="0" w:line="240" w:lineRule="auto"/>
        <w:jc w:val="both"/>
        <w:rPr>
          <w:rFonts w:ascii="Times New Roman" w:hAnsi="Times New Roman"/>
          <w:sz w:val="28"/>
          <w:szCs w:val="28"/>
          <w:lang w:val="en-US"/>
        </w:rPr>
      </w:pPr>
    </w:p>
    <w:p w:rsidR="004127DE" w:rsidRDefault="004127DE" w:rsidP="007B1B8A">
      <w:pPr>
        <w:spacing w:after="0" w:line="240" w:lineRule="auto"/>
        <w:jc w:val="both"/>
        <w:rPr>
          <w:rFonts w:ascii="Times New Roman" w:hAnsi="Times New Roman"/>
          <w:sz w:val="28"/>
          <w:szCs w:val="28"/>
          <w:lang w:val="en-US"/>
        </w:rPr>
      </w:pPr>
    </w:p>
    <w:p w:rsidR="004127DE" w:rsidRDefault="004127DE" w:rsidP="007B1B8A">
      <w:pPr>
        <w:spacing w:after="0" w:line="240" w:lineRule="auto"/>
        <w:jc w:val="both"/>
        <w:rPr>
          <w:rFonts w:ascii="Times New Roman" w:hAnsi="Times New Roman"/>
          <w:sz w:val="28"/>
          <w:szCs w:val="28"/>
          <w:lang w:val="en-US"/>
        </w:rPr>
      </w:pPr>
    </w:p>
    <w:p w:rsidR="007B1B8A" w:rsidRPr="007B1B8A" w:rsidRDefault="007B1B8A" w:rsidP="007B1B8A">
      <w:pPr>
        <w:spacing w:after="0" w:line="240" w:lineRule="auto"/>
        <w:jc w:val="both"/>
        <w:rPr>
          <w:rFonts w:ascii="Times New Roman" w:hAnsi="Times New Roman"/>
          <w:sz w:val="20"/>
          <w:szCs w:val="20"/>
          <w:lang w:val="uk-UA"/>
        </w:rPr>
      </w:pPr>
      <w:bookmarkStart w:id="1" w:name="_GoBack"/>
      <w:bookmarkEnd w:id="1"/>
      <w:r w:rsidRPr="007B1B8A">
        <w:rPr>
          <w:rFonts w:ascii="Times New Roman" w:hAnsi="Times New Roman"/>
          <w:sz w:val="20"/>
          <w:szCs w:val="20"/>
          <w:lang w:val="uk-UA"/>
        </w:rPr>
        <w:t xml:space="preserve">18002, м. Черкаси, вул. Хрещатик,235                                           </w:t>
      </w:r>
      <w:r w:rsidRPr="00EA716F">
        <w:rPr>
          <w:rFonts w:ascii="Times New Roman" w:hAnsi="Times New Roman"/>
          <w:sz w:val="20"/>
          <w:szCs w:val="20"/>
          <w:lang w:val="en-US"/>
        </w:rPr>
        <w:t>e</w:t>
      </w:r>
      <w:r w:rsidRPr="007B1B8A">
        <w:rPr>
          <w:rFonts w:ascii="Times New Roman" w:hAnsi="Times New Roman"/>
          <w:sz w:val="20"/>
          <w:szCs w:val="20"/>
          <w:lang w:val="uk-UA"/>
        </w:rPr>
        <w:t>-</w:t>
      </w:r>
      <w:r w:rsidRPr="00EA716F">
        <w:rPr>
          <w:rFonts w:ascii="Times New Roman" w:hAnsi="Times New Roman"/>
          <w:sz w:val="20"/>
          <w:szCs w:val="20"/>
          <w:lang w:val="en-US"/>
        </w:rPr>
        <w:t>mail</w:t>
      </w:r>
      <w:r w:rsidRPr="007B1B8A">
        <w:rPr>
          <w:rFonts w:ascii="Times New Roman" w:hAnsi="Times New Roman"/>
          <w:sz w:val="20"/>
          <w:szCs w:val="20"/>
          <w:lang w:val="uk-UA"/>
        </w:rPr>
        <w:t xml:space="preserve">: </w:t>
      </w:r>
      <w:hyperlink r:id="rId6" w:history="1">
        <w:r w:rsidRPr="00EA716F">
          <w:rPr>
            <w:rStyle w:val="a5"/>
            <w:rFonts w:ascii="Times New Roman" w:hAnsi="Times New Roman"/>
            <w:sz w:val="20"/>
            <w:szCs w:val="20"/>
            <w:lang w:val="en-US"/>
          </w:rPr>
          <w:t>ck</w:t>
        </w:r>
        <w:r w:rsidRPr="007B1B8A">
          <w:rPr>
            <w:rStyle w:val="a5"/>
            <w:rFonts w:ascii="Times New Roman" w:hAnsi="Times New Roman"/>
            <w:sz w:val="20"/>
            <w:szCs w:val="20"/>
            <w:lang w:val="uk-UA"/>
          </w:rPr>
          <w:t>.</w:t>
        </w:r>
        <w:r w:rsidRPr="00EA716F">
          <w:rPr>
            <w:rStyle w:val="a5"/>
            <w:rFonts w:ascii="Times New Roman" w:hAnsi="Times New Roman"/>
            <w:sz w:val="20"/>
            <w:szCs w:val="20"/>
            <w:lang w:val="en-US"/>
          </w:rPr>
          <w:t>zmi</w:t>
        </w:r>
        <w:r w:rsidRPr="007B1B8A">
          <w:rPr>
            <w:rStyle w:val="a5"/>
            <w:rFonts w:ascii="Times New Roman" w:hAnsi="Times New Roman"/>
            <w:sz w:val="20"/>
            <w:szCs w:val="20"/>
            <w:lang w:val="uk-UA"/>
          </w:rPr>
          <w:t>@</w:t>
        </w:r>
        <w:r w:rsidRPr="00EA716F">
          <w:rPr>
            <w:rStyle w:val="a5"/>
            <w:rFonts w:ascii="Times New Roman" w:hAnsi="Times New Roman"/>
            <w:sz w:val="20"/>
            <w:szCs w:val="20"/>
            <w:lang w:val="en-US"/>
          </w:rPr>
          <w:t>tax</w:t>
        </w:r>
        <w:r w:rsidRPr="007B1B8A">
          <w:rPr>
            <w:rStyle w:val="a5"/>
            <w:rFonts w:ascii="Times New Roman" w:hAnsi="Times New Roman"/>
            <w:sz w:val="20"/>
            <w:szCs w:val="20"/>
            <w:lang w:val="uk-UA"/>
          </w:rPr>
          <w:t>.</w:t>
        </w:r>
        <w:r w:rsidRPr="00EA716F">
          <w:rPr>
            <w:rStyle w:val="a5"/>
            <w:rFonts w:ascii="Times New Roman" w:hAnsi="Times New Roman"/>
            <w:sz w:val="20"/>
            <w:szCs w:val="20"/>
            <w:lang w:val="en-US"/>
          </w:rPr>
          <w:t>gov</w:t>
        </w:r>
        <w:r w:rsidRPr="007B1B8A">
          <w:rPr>
            <w:rStyle w:val="a5"/>
            <w:rFonts w:ascii="Times New Roman" w:hAnsi="Times New Roman"/>
            <w:sz w:val="20"/>
            <w:szCs w:val="20"/>
            <w:lang w:val="uk-UA"/>
          </w:rPr>
          <w:t>.</w:t>
        </w:r>
        <w:proofErr w:type="spellStart"/>
        <w:r w:rsidRPr="00EA716F">
          <w:rPr>
            <w:rStyle w:val="a5"/>
            <w:rFonts w:ascii="Times New Roman" w:hAnsi="Times New Roman"/>
            <w:sz w:val="20"/>
            <w:szCs w:val="20"/>
            <w:lang w:val="en-US"/>
          </w:rPr>
          <w:t>ua</w:t>
        </w:r>
        <w:proofErr w:type="spellEnd"/>
      </w:hyperlink>
    </w:p>
    <w:p w:rsidR="00392635" w:rsidRPr="00311E8D" w:rsidRDefault="007B1B8A" w:rsidP="007B1B8A">
      <w:pPr>
        <w:spacing w:after="0" w:line="240" w:lineRule="auto"/>
        <w:jc w:val="both"/>
        <w:rPr>
          <w:lang w:val="uk-UA"/>
        </w:rPr>
      </w:pPr>
      <w:r w:rsidRPr="00EA716F">
        <w:rPr>
          <w:rFonts w:ascii="Times New Roman" w:hAnsi="Times New Roman"/>
          <w:sz w:val="20"/>
          <w:szCs w:val="20"/>
        </w:rPr>
        <w:t xml:space="preserve">тел.(0472) 33-91-34                                                                           </w:t>
      </w:r>
      <w:hyperlink r:id="rId7" w:history="1">
        <w:r w:rsidRPr="00EA716F">
          <w:rPr>
            <w:rStyle w:val="a5"/>
            <w:rFonts w:ascii="Times New Roman" w:hAnsi="Times New Roman"/>
            <w:sz w:val="20"/>
            <w:szCs w:val="20"/>
          </w:rPr>
          <w:t>https://ck.tax.gov.ua/</w:t>
        </w:r>
      </w:hyperlink>
    </w:p>
    <w:sectPr w:rsidR="00392635" w:rsidRPr="00311E8D" w:rsidSect="0045740B">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1E8D"/>
    <w:rsid w:val="00311E8D"/>
    <w:rsid w:val="00392635"/>
    <w:rsid w:val="004127DE"/>
    <w:rsid w:val="0045740B"/>
    <w:rsid w:val="007B1B8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1E8D"/>
    <w:rPr>
      <w:rFonts w:ascii="Calibri" w:eastAsia="Calibri" w:hAnsi="Calibri"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B1B8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B1B8A"/>
    <w:rPr>
      <w:rFonts w:ascii="Tahoma" w:eastAsia="Calibri" w:hAnsi="Tahoma" w:cs="Tahoma"/>
      <w:sz w:val="16"/>
      <w:szCs w:val="16"/>
      <w:lang w:val="ru-RU"/>
    </w:rPr>
  </w:style>
  <w:style w:type="character" w:customStyle="1" w:styleId="z-label">
    <w:name w:val="z-label"/>
    <w:basedOn w:val="a0"/>
    <w:rsid w:val="007B1B8A"/>
  </w:style>
  <w:style w:type="character" w:styleId="a5">
    <w:name w:val="Hyperlink"/>
    <w:uiPriority w:val="99"/>
    <w:rsid w:val="007B1B8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1E8D"/>
    <w:rPr>
      <w:rFonts w:ascii="Calibri" w:eastAsia="Calibri" w:hAnsi="Calibri"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B1B8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B1B8A"/>
    <w:rPr>
      <w:rFonts w:ascii="Tahoma" w:eastAsia="Calibri" w:hAnsi="Tahoma" w:cs="Tahoma"/>
      <w:sz w:val="16"/>
      <w:szCs w:val="16"/>
      <w:lang w:val="ru-RU"/>
    </w:rPr>
  </w:style>
  <w:style w:type="character" w:customStyle="1" w:styleId="z-label">
    <w:name w:val="z-label"/>
    <w:basedOn w:val="a0"/>
    <w:rsid w:val="007B1B8A"/>
  </w:style>
  <w:style w:type="character" w:styleId="a5">
    <w:name w:val="Hyperlink"/>
    <w:uiPriority w:val="99"/>
    <w:rsid w:val="007B1B8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3102</Words>
  <Characters>1769</Characters>
  <Application>Microsoft Office Word</Application>
  <DocSecurity>0</DocSecurity>
  <Lines>14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2022-10-17T12:34:00Z</dcterms:created>
  <dcterms:modified xsi:type="dcterms:W3CDTF">2022-10-19T05:29:00Z</dcterms:modified>
</cp:coreProperties>
</file>